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0A" w:rsidRDefault="0024300A" w:rsidP="0024300A">
      <w:pPr>
        <w:widowControl/>
        <w:spacing w:line="600" w:lineRule="exact"/>
        <w:outlineLvl w:val="2"/>
        <w:rPr>
          <w:rFonts w:ascii="仿宋" w:eastAsia="仿宋" w:hAnsi="仿宋" w:cs="Times New Roman"/>
          <w:color w:val="000000"/>
          <w:kern w:val="0"/>
          <w:sz w:val="24"/>
          <w:szCs w:val="24"/>
        </w:rPr>
      </w:pPr>
    </w:p>
    <w:p w:rsidR="0024300A" w:rsidRPr="00C94122" w:rsidRDefault="0024300A" w:rsidP="0024300A">
      <w:pPr>
        <w:widowControl/>
        <w:spacing w:line="600" w:lineRule="exact"/>
        <w:outlineLvl w:val="2"/>
        <w:rPr>
          <w:b/>
          <w:sz w:val="28"/>
          <w:szCs w:val="28"/>
        </w:rPr>
      </w:pPr>
      <w:r w:rsidRPr="00C94122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附件：猕猴桃产业2020</w:t>
      </w:r>
      <w:r w:rsidR="003C2270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届</w:t>
      </w:r>
      <w:r w:rsidR="003C2270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学位</w:t>
      </w:r>
      <w:r w:rsidR="003C2270" w:rsidRPr="00C94122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论文答辩</w:t>
      </w:r>
      <w:r w:rsidR="003C2270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研究生</w:t>
      </w:r>
      <w:bookmarkStart w:id="0" w:name="_GoBack"/>
      <w:bookmarkEnd w:id="0"/>
      <w:r w:rsidRPr="00C94122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名单</w:t>
      </w:r>
    </w:p>
    <w:p w:rsidR="0024300A" w:rsidRDefault="0024300A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1134"/>
        <w:gridCol w:w="3544"/>
      </w:tblGrid>
      <w:tr w:rsidR="0024300A" w:rsidRPr="0024300A" w:rsidTr="00725C70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研究生姓名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学科专业</w:t>
            </w:r>
          </w:p>
        </w:tc>
        <w:tc>
          <w:tcPr>
            <w:tcW w:w="1134" w:type="dxa"/>
            <w:vAlign w:val="center"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3544" w:type="dxa"/>
            <w:vAlign w:val="center"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</w:tr>
      <w:tr w:rsidR="0024300A" w:rsidRPr="0024300A" w:rsidTr="0024300A">
        <w:trPr>
          <w:trHeight w:hRule="exact" w:val="907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葛铭佳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果树学</w:t>
            </w:r>
          </w:p>
        </w:tc>
        <w:tc>
          <w:tcPr>
            <w:tcW w:w="1134" w:type="dxa"/>
            <w:vAlign w:val="center"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何玲</w:t>
            </w:r>
          </w:p>
        </w:tc>
        <w:tc>
          <w:tcPr>
            <w:tcW w:w="3544" w:type="dxa"/>
            <w:vAlign w:val="center"/>
          </w:tcPr>
          <w:p w:rsidR="0024300A" w:rsidRPr="0024300A" w:rsidRDefault="0024300A" w:rsidP="00725C7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肉桂酸钾处理对‘徐香’猕猴桃采后灰霉病的抑制及贮藏效果的研究</w:t>
            </w:r>
          </w:p>
        </w:tc>
      </w:tr>
      <w:tr w:rsidR="0024300A" w:rsidRPr="0024300A" w:rsidTr="0024300A">
        <w:trPr>
          <w:trHeight w:hRule="exact" w:val="907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430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宋建宇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果树学</w:t>
            </w:r>
          </w:p>
        </w:tc>
        <w:tc>
          <w:tcPr>
            <w:tcW w:w="1134" w:type="dxa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李明军</w:t>
            </w:r>
          </w:p>
        </w:tc>
        <w:tc>
          <w:tcPr>
            <w:tcW w:w="3544" w:type="dxa"/>
            <w:vAlign w:val="center"/>
          </w:tcPr>
          <w:p w:rsidR="0024300A" w:rsidRPr="0024300A" w:rsidRDefault="0024300A" w:rsidP="00725C7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CPPU对猕猴桃</w:t>
            </w:r>
            <w:proofErr w:type="gramStart"/>
            <w:r w:rsidRPr="0024300A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果实库强的</w:t>
            </w:r>
            <w:proofErr w:type="gramEnd"/>
            <w:r w:rsidRPr="0024300A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调控作用与糖代谢的关系研究</w:t>
            </w:r>
          </w:p>
        </w:tc>
      </w:tr>
      <w:tr w:rsidR="0024300A" w:rsidRPr="0024300A" w:rsidTr="0024300A">
        <w:trPr>
          <w:trHeight w:hRule="exact" w:val="907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鲍文武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园艺</w:t>
            </w:r>
          </w:p>
        </w:tc>
        <w:tc>
          <w:tcPr>
            <w:tcW w:w="1134" w:type="dxa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刘占德</w:t>
            </w:r>
          </w:p>
        </w:tc>
        <w:tc>
          <w:tcPr>
            <w:tcW w:w="3544" w:type="dxa"/>
            <w:vAlign w:val="center"/>
          </w:tcPr>
          <w:p w:rsidR="0024300A" w:rsidRPr="0024300A" w:rsidRDefault="0024300A" w:rsidP="00725C7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对不同猕猴桃砧木试管苗嫁接亲和性及抗旱性的评价</w:t>
            </w:r>
          </w:p>
        </w:tc>
      </w:tr>
      <w:tr w:rsidR="0024300A" w:rsidRPr="0024300A" w:rsidTr="0024300A">
        <w:trPr>
          <w:trHeight w:hRule="exact" w:val="907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蒋宗谨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农业工程</w:t>
            </w:r>
          </w:p>
        </w:tc>
        <w:tc>
          <w:tcPr>
            <w:tcW w:w="1134" w:type="dxa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石复习</w:t>
            </w:r>
          </w:p>
        </w:tc>
        <w:tc>
          <w:tcPr>
            <w:tcW w:w="3544" w:type="dxa"/>
            <w:vAlign w:val="center"/>
          </w:tcPr>
          <w:p w:rsidR="0024300A" w:rsidRPr="0024300A" w:rsidRDefault="0024300A" w:rsidP="00725C7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猕猴桃双流式喷雾授粉装置研究</w:t>
            </w:r>
          </w:p>
        </w:tc>
      </w:tr>
      <w:tr w:rsidR="0024300A" w:rsidRPr="0024300A" w:rsidTr="0024300A">
        <w:trPr>
          <w:trHeight w:hRule="exact" w:val="907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430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刘智豪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农业电气化与自动化</w:t>
            </w:r>
          </w:p>
        </w:tc>
        <w:tc>
          <w:tcPr>
            <w:tcW w:w="1134" w:type="dxa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傅隆生</w:t>
            </w:r>
            <w:proofErr w:type="gramEnd"/>
          </w:p>
        </w:tc>
        <w:tc>
          <w:tcPr>
            <w:tcW w:w="3544" w:type="dxa"/>
            <w:vAlign w:val="center"/>
          </w:tcPr>
          <w:p w:rsidR="0024300A" w:rsidRPr="0024300A" w:rsidRDefault="0024300A" w:rsidP="00725C7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基于多</w:t>
            </w:r>
            <w:proofErr w:type="gramStart"/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源信息</w:t>
            </w:r>
            <w:proofErr w:type="gramEnd"/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融合的猕猴桃检测与定位算法研究</w:t>
            </w:r>
          </w:p>
        </w:tc>
      </w:tr>
      <w:tr w:rsidR="0024300A" w:rsidRPr="0024300A" w:rsidTr="0024300A">
        <w:trPr>
          <w:trHeight w:hRule="exact" w:val="907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农村与区域发展</w:t>
            </w:r>
          </w:p>
        </w:tc>
        <w:tc>
          <w:tcPr>
            <w:tcW w:w="1134" w:type="dxa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夏显力</w:t>
            </w:r>
            <w:proofErr w:type="gramEnd"/>
          </w:p>
        </w:tc>
        <w:tc>
          <w:tcPr>
            <w:tcW w:w="3544" w:type="dxa"/>
            <w:vAlign w:val="center"/>
          </w:tcPr>
          <w:p w:rsidR="0024300A" w:rsidRPr="0024300A" w:rsidRDefault="0024300A" w:rsidP="00725C7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“互联网＋”、绿色认知与农户有机肥施用行为研究—以川陕猕猴桃种植户微观调查数据为例</w:t>
            </w:r>
          </w:p>
        </w:tc>
      </w:tr>
      <w:tr w:rsidR="0024300A" w:rsidRPr="0024300A" w:rsidTr="0024300A">
        <w:trPr>
          <w:trHeight w:hRule="exact" w:val="907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430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毕梦琳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00A" w:rsidRPr="0024300A" w:rsidRDefault="0024300A" w:rsidP="00725C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农村与区域发展</w:t>
            </w:r>
          </w:p>
        </w:tc>
        <w:tc>
          <w:tcPr>
            <w:tcW w:w="1134" w:type="dxa"/>
            <w:vAlign w:val="center"/>
          </w:tcPr>
          <w:p w:rsidR="0024300A" w:rsidRPr="0024300A" w:rsidRDefault="0024300A" w:rsidP="00725C7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24300A">
              <w:rPr>
                <w:rFonts w:ascii="仿宋" w:eastAsia="仿宋" w:hAnsi="仿宋" w:cs="Times New Roman" w:hint="eastAsia"/>
                <w:color w:val="000000"/>
                <w:szCs w:val="21"/>
              </w:rPr>
              <w:t>夏显力</w:t>
            </w:r>
            <w:proofErr w:type="gramEnd"/>
          </w:p>
        </w:tc>
        <w:tc>
          <w:tcPr>
            <w:tcW w:w="3544" w:type="dxa"/>
            <w:vAlign w:val="center"/>
          </w:tcPr>
          <w:p w:rsidR="0024300A" w:rsidRPr="0024300A" w:rsidRDefault="0024300A" w:rsidP="00725C7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24300A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农村电商对猕猴桃种植户增收效应研究——以四川、陕西农户调研为例</w:t>
            </w:r>
          </w:p>
        </w:tc>
      </w:tr>
    </w:tbl>
    <w:p w:rsidR="0024300A" w:rsidRPr="0024300A" w:rsidRDefault="0024300A"/>
    <w:sectPr w:rsidR="0024300A" w:rsidRPr="0024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0A"/>
    <w:rsid w:val="0024300A"/>
    <w:rsid w:val="002C15D6"/>
    <w:rsid w:val="003C2270"/>
    <w:rsid w:val="00672985"/>
    <w:rsid w:val="00837548"/>
    <w:rsid w:val="00C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王彩绒</dc:creator>
  <cp:lastModifiedBy>王彩绒</cp:lastModifiedBy>
  <cp:revision>3</cp:revision>
  <dcterms:created xsi:type="dcterms:W3CDTF">2020-05-15T11:05:00Z</dcterms:created>
  <dcterms:modified xsi:type="dcterms:W3CDTF">2020-05-16T01:31:00Z</dcterms:modified>
</cp:coreProperties>
</file>